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94503F" w14:textId="77777777" w:rsidR="0046714A" w:rsidRDefault="0046714A" w:rsidP="002806F7">
      <w:pPr>
        <w:pStyle w:val="Normal1"/>
        <w:ind w:left="-9" w:right="-290" w:hanging="15"/>
        <w:jc w:val="center"/>
        <w:rPr>
          <w:b/>
          <w:color w:val="005568"/>
          <w:sz w:val="24"/>
          <w:szCs w:val="24"/>
        </w:rPr>
      </w:pPr>
      <w:bookmarkStart w:id="0" w:name="_GoBack"/>
      <w:bookmarkEnd w:id="0"/>
      <w:r>
        <w:rPr>
          <w:b/>
          <w:noProof/>
          <w:color w:val="005568"/>
          <w:sz w:val="24"/>
          <w:szCs w:val="24"/>
        </w:rPr>
        <w:drawing>
          <wp:inline distT="0" distB="0" distL="0" distR="0" wp14:anchorId="5B015CAA" wp14:editId="14AFC138">
            <wp:extent cx="1841500" cy="893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genes-logo-registered-CMYK.eps"/>
                    <pic:cNvPicPr/>
                  </pic:nvPicPr>
                  <pic:blipFill>
                    <a:blip r:embed="rId5">
                      <a:extLst>
                        <a:ext uri="{28A0092B-C50C-407E-A947-70E740481C1C}">
                          <a14:useLocalDpi xmlns:a14="http://schemas.microsoft.com/office/drawing/2010/main" val="0"/>
                        </a:ext>
                      </a:extLst>
                    </a:blip>
                    <a:stretch>
                      <a:fillRect/>
                    </a:stretch>
                  </pic:blipFill>
                  <pic:spPr>
                    <a:xfrm>
                      <a:off x="0" y="0"/>
                      <a:ext cx="1841500" cy="893932"/>
                    </a:xfrm>
                    <a:prstGeom prst="rect">
                      <a:avLst/>
                    </a:prstGeom>
                  </pic:spPr>
                </pic:pic>
              </a:graphicData>
            </a:graphic>
          </wp:inline>
        </w:drawing>
      </w:r>
    </w:p>
    <w:p w14:paraId="7D8A73BC" w14:textId="77777777" w:rsidR="0046714A" w:rsidRDefault="0046714A">
      <w:pPr>
        <w:pStyle w:val="Normal1"/>
        <w:ind w:left="-9" w:right="-290" w:hanging="15"/>
        <w:jc w:val="both"/>
        <w:rPr>
          <w:b/>
          <w:color w:val="005568"/>
          <w:sz w:val="24"/>
          <w:szCs w:val="24"/>
        </w:rPr>
      </w:pPr>
    </w:p>
    <w:p w14:paraId="03B36B2B" w14:textId="77777777" w:rsidR="005A634C" w:rsidRPr="005A634C" w:rsidRDefault="002806F7" w:rsidP="005A634C">
      <w:pPr>
        <w:ind w:left="-720" w:right="-720"/>
        <w:rPr>
          <w:rFonts w:asciiTheme="majorHAnsi" w:hAnsiTheme="majorHAnsi" w:cstheme="majorHAnsi"/>
          <w:color w:val="215868" w:themeColor="accent5" w:themeShade="80"/>
        </w:rPr>
      </w:pPr>
      <w:r>
        <w:rPr>
          <w:b/>
          <w:color w:val="005568"/>
          <w:sz w:val="24"/>
          <w:szCs w:val="24"/>
        </w:rPr>
        <w:br/>
      </w:r>
      <w:r>
        <w:rPr>
          <w:b/>
          <w:color w:val="005568"/>
          <w:sz w:val="24"/>
          <w:szCs w:val="24"/>
        </w:rPr>
        <w:br/>
      </w:r>
      <w:r w:rsidR="005A634C" w:rsidRPr="005A634C">
        <w:rPr>
          <w:rFonts w:asciiTheme="majorHAnsi" w:hAnsiTheme="majorHAnsi" w:cstheme="majorHAnsi"/>
          <w:b/>
          <w:color w:val="215868" w:themeColor="accent5" w:themeShade="80"/>
        </w:rPr>
        <w:t>Global Genes</w:t>
      </w:r>
    </w:p>
    <w:p w14:paraId="1522F989" w14:textId="77777777" w:rsidR="005A634C" w:rsidRPr="005A634C" w:rsidRDefault="005A634C" w:rsidP="005A634C">
      <w:pPr>
        <w:ind w:left="-720" w:right="-720"/>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Account Manager, Corporate Engagement</w:t>
      </w:r>
    </w:p>
    <w:p w14:paraId="79CBB6FC" w14:textId="77777777" w:rsidR="005A634C" w:rsidRPr="005A634C" w:rsidRDefault="005A634C" w:rsidP="005A634C">
      <w:pPr>
        <w:ind w:left="-720" w:right="-720"/>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Job Description</w:t>
      </w:r>
    </w:p>
    <w:p w14:paraId="1737E6EC" w14:textId="77777777" w:rsidR="005A634C" w:rsidRPr="005A634C" w:rsidRDefault="005A634C" w:rsidP="005A634C">
      <w:pPr>
        <w:ind w:left="-720" w:right="-720"/>
        <w:rPr>
          <w:rFonts w:asciiTheme="majorHAnsi" w:hAnsiTheme="majorHAnsi" w:cstheme="majorHAnsi"/>
          <w:b/>
          <w:color w:val="215868" w:themeColor="accent5" w:themeShade="80"/>
        </w:rPr>
      </w:pPr>
      <w:r w:rsidRPr="005A634C">
        <w:rPr>
          <w:rFonts w:asciiTheme="majorHAnsi" w:hAnsiTheme="majorHAnsi" w:cstheme="majorHAnsi"/>
          <w:b/>
          <w:color w:val="215868" w:themeColor="accent5" w:themeShade="80"/>
        </w:rPr>
        <w:t>Reports to Chief Program Officer</w:t>
      </w:r>
    </w:p>
    <w:p w14:paraId="56A2AB7F" w14:textId="77777777" w:rsidR="005A634C" w:rsidRPr="005A634C" w:rsidRDefault="005A634C" w:rsidP="005A634C">
      <w:pPr>
        <w:ind w:left="-720" w:right="-720"/>
        <w:rPr>
          <w:rFonts w:asciiTheme="majorHAnsi" w:hAnsiTheme="majorHAnsi" w:cstheme="majorHAnsi"/>
          <w:b/>
          <w:color w:val="215868" w:themeColor="accent5" w:themeShade="80"/>
        </w:rPr>
      </w:pPr>
    </w:p>
    <w:p w14:paraId="399A1715" w14:textId="77777777" w:rsidR="005A634C" w:rsidRPr="005A634C" w:rsidRDefault="005A634C" w:rsidP="005A634C">
      <w:pPr>
        <w:ind w:left="-720"/>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Global Genes has developed a significant number of awareness and outreach programs, as well as collaborative partnerships with patient organizations, industry, clinicians and advocates. Reporting to the Chief Program Officer, the Corporate Engagement Director is responsible for supporting the development and implementation of comprehensive patient engagement and education programs in support of Global Genes’ organizational objectives.  </w:t>
      </w:r>
    </w:p>
    <w:p w14:paraId="67744257" w14:textId="77777777" w:rsidR="005A634C" w:rsidRPr="005A634C" w:rsidRDefault="005A634C" w:rsidP="005A634C">
      <w:pPr>
        <w:ind w:left="-720"/>
        <w:jc w:val="both"/>
        <w:rPr>
          <w:rFonts w:asciiTheme="majorHAnsi" w:hAnsiTheme="majorHAnsi" w:cstheme="majorHAnsi"/>
          <w:color w:val="215868" w:themeColor="accent5" w:themeShade="80"/>
        </w:rPr>
      </w:pPr>
    </w:p>
    <w:p w14:paraId="7221E8E8" w14:textId="77777777" w:rsidR="005A634C" w:rsidRPr="005A634C" w:rsidRDefault="005A634C" w:rsidP="005A634C">
      <w:pPr>
        <w:ind w:left="-720"/>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This role consists of traditional Account Management, as well as Business Development, working directly with biotech, pharma and other rare disease industry partners to support existing programs and develop new programs that benefit patient communities. This person will play an active role within the Corporate Alliance, that is comprised of biotech/pharma partners, who participate in committees that act as working groups, developing large scale programs to serve patients and healthcare providers who are in rare disease. </w:t>
      </w:r>
    </w:p>
    <w:p w14:paraId="19F0FC4D" w14:textId="77777777" w:rsidR="005A634C" w:rsidRPr="005A634C" w:rsidRDefault="005A634C" w:rsidP="005A634C">
      <w:pPr>
        <w:jc w:val="both"/>
        <w:rPr>
          <w:rFonts w:asciiTheme="majorHAnsi" w:hAnsiTheme="majorHAnsi" w:cstheme="majorHAnsi"/>
          <w:color w:val="215868" w:themeColor="accent5" w:themeShade="80"/>
        </w:rPr>
      </w:pPr>
    </w:p>
    <w:p w14:paraId="4D0BDEBA" w14:textId="77777777" w:rsidR="005A634C" w:rsidRPr="005A634C" w:rsidRDefault="005A634C" w:rsidP="005A634C">
      <w:pPr>
        <w:ind w:left="-720"/>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Global Genes is a leading rare disease advocacy organization with global reach to the worldwide community of patients, caregivers, advocates and clinical partners. Our mission is to eliminate the challenges of rare disease through programs and services that build awareness, provide connections, resources and educational tools to positively impact affected patients and families.  </w:t>
      </w:r>
    </w:p>
    <w:p w14:paraId="5B6C6DB8" w14:textId="77777777" w:rsidR="005A634C" w:rsidRPr="005A634C" w:rsidRDefault="005A634C" w:rsidP="005A634C">
      <w:pPr>
        <w:ind w:left="-720"/>
        <w:jc w:val="both"/>
        <w:rPr>
          <w:rFonts w:asciiTheme="majorHAnsi" w:hAnsiTheme="majorHAnsi" w:cstheme="majorHAnsi"/>
          <w:color w:val="215868" w:themeColor="accent5" w:themeShade="80"/>
        </w:rPr>
      </w:pPr>
    </w:p>
    <w:p w14:paraId="69BA181D" w14:textId="17667FED" w:rsidR="005A634C" w:rsidRDefault="005A634C" w:rsidP="005A634C">
      <w:pPr>
        <w:ind w:left="-720"/>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The Global Genes Headquarters is located in Aliso Viejo, California.</w:t>
      </w:r>
    </w:p>
    <w:p w14:paraId="524675B2" w14:textId="741E1C41" w:rsidR="005A634C" w:rsidRDefault="005A634C" w:rsidP="005A634C">
      <w:pPr>
        <w:ind w:left="-720"/>
        <w:jc w:val="both"/>
        <w:rPr>
          <w:rFonts w:asciiTheme="majorHAnsi" w:hAnsiTheme="majorHAnsi" w:cstheme="majorHAnsi"/>
          <w:color w:val="215868" w:themeColor="accent5" w:themeShade="80"/>
        </w:rPr>
      </w:pPr>
    </w:p>
    <w:p w14:paraId="422EEDB6" w14:textId="75143EAD" w:rsidR="005A634C" w:rsidRPr="00245004" w:rsidRDefault="005A634C" w:rsidP="005A634C">
      <w:pPr>
        <w:ind w:left="-720"/>
        <w:jc w:val="both"/>
        <w:rPr>
          <w:rFonts w:asciiTheme="majorHAnsi" w:hAnsiTheme="majorHAnsi" w:cstheme="majorHAnsi"/>
          <w:b/>
          <w:color w:val="215868" w:themeColor="accent5" w:themeShade="80"/>
        </w:rPr>
      </w:pPr>
      <w:r w:rsidRPr="00245004">
        <w:rPr>
          <w:rFonts w:asciiTheme="majorHAnsi" w:hAnsiTheme="majorHAnsi" w:cstheme="majorHAnsi"/>
          <w:b/>
          <w:color w:val="215868" w:themeColor="accent5" w:themeShade="80"/>
        </w:rPr>
        <w:t>Position Overview:</w:t>
      </w:r>
    </w:p>
    <w:p w14:paraId="24B56797" w14:textId="5E53BF54" w:rsidR="005A634C" w:rsidRDefault="005A634C" w:rsidP="005A634C">
      <w:pPr>
        <w:ind w:left="-720"/>
        <w:jc w:val="both"/>
        <w:rPr>
          <w:rFonts w:asciiTheme="majorHAnsi" w:hAnsiTheme="majorHAnsi" w:cstheme="majorHAnsi"/>
          <w:color w:val="215868" w:themeColor="accent5" w:themeShade="80"/>
        </w:rPr>
      </w:pPr>
    </w:p>
    <w:p w14:paraId="4DDFF18D" w14:textId="5E704376" w:rsidR="005A634C" w:rsidRDefault="005A634C" w:rsidP="005A634C">
      <w:pPr>
        <w:ind w:left="-720"/>
        <w:jc w:val="both"/>
        <w:rPr>
          <w:rFonts w:asciiTheme="majorHAnsi" w:hAnsiTheme="majorHAnsi" w:cstheme="majorHAnsi"/>
          <w:color w:val="215868" w:themeColor="accent5" w:themeShade="80"/>
        </w:rPr>
      </w:pPr>
      <w:r>
        <w:rPr>
          <w:rFonts w:asciiTheme="majorHAnsi" w:hAnsiTheme="majorHAnsi" w:cstheme="majorHAnsi"/>
          <w:color w:val="215868" w:themeColor="accent5" w:themeShade="80"/>
        </w:rPr>
        <w:t xml:space="preserve">The Corporate Engagement department’s role is critical in ensuring that Global Genes’ patient driven events and programs are successfully funded and that Global Genes is successfully positioned as a bridge between industry and the patient communities that we both exist to serve. As part of this role, the Account Manager will pursue and represent the Global Genes mission in all his/her interactions. </w:t>
      </w:r>
    </w:p>
    <w:p w14:paraId="13D8FC2F" w14:textId="064F4349" w:rsidR="005A634C" w:rsidRDefault="005A634C" w:rsidP="005A634C">
      <w:pPr>
        <w:ind w:left="-720"/>
        <w:jc w:val="both"/>
        <w:rPr>
          <w:rFonts w:asciiTheme="majorHAnsi" w:hAnsiTheme="majorHAnsi" w:cstheme="majorHAnsi"/>
          <w:color w:val="215868" w:themeColor="accent5" w:themeShade="80"/>
        </w:rPr>
      </w:pPr>
    </w:p>
    <w:p w14:paraId="29D50171" w14:textId="03DD6C19" w:rsidR="005A634C" w:rsidRDefault="005A634C" w:rsidP="005A634C">
      <w:pPr>
        <w:ind w:left="-720"/>
        <w:jc w:val="both"/>
        <w:rPr>
          <w:rFonts w:asciiTheme="majorHAnsi" w:hAnsiTheme="majorHAnsi" w:cstheme="majorHAnsi"/>
          <w:b/>
          <w:color w:val="215868" w:themeColor="accent5" w:themeShade="80"/>
        </w:rPr>
      </w:pPr>
      <w:r>
        <w:rPr>
          <w:rFonts w:asciiTheme="majorHAnsi" w:hAnsiTheme="majorHAnsi" w:cstheme="majorHAnsi"/>
          <w:b/>
          <w:color w:val="215868" w:themeColor="accent5" w:themeShade="80"/>
        </w:rPr>
        <w:t>Corporate Alliance Membership &amp; Industry Engagement</w:t>
      </w:r>
    </w:p>
    <w:p w14:paraId="6088B9DF" w14:textId="784F8217" w:rsidR="005A634C" w:rsidRDefault="005A634C" w:rsidP="005A634C">
      <w:pPr>
        <w:ind w:left="-720"/>
        <w:jc w:val="both"/>
        <w:rPr>
          <w:rFonts w:asciiTheme="majorHAnsi" w:hAnsiTheme="majorHAnsi" w:cstheme="majorHAnsi"/>
          <w:b/>
          <w:color w:val="215868" w:themeColor="accent5" w:themeShade="80"/>
        </w:rPr>
      </w:pPr>
    </w:p>
    <w:p w14:paraId="5F5697CC"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 xml:space="preserve">Corporate Alliance Membership </w:t>
      </w:r>
    </w:p>
    <w:p w14:paraId="180A5723" w14:textId="77777777" w:rsidR="00040E9D" w:rsidRPr="005A634C" w:rsidRDefault="00244936" w:rsidP="00AA5514">
      <w:pPr>
        <w:pStyle w:val="Normal1"/>
        <w:widowControl/>
        <w:numPr>
          <w:ilvl w:val="0"/>
          <w:numId w:val="2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Renew current and identify prospective industry partners for Corporate Alliance Membership.</w:t>
      </w:r>
    </w:p>
    <w:p w14:paraId="5FBD8E03" w14:textId="640A1ED7" w:rsidR="00040E9D" w:rsidRPr="005A634C" w:rsidRDefault="005A634C" w:rsidP="00AA5514">
      <w:pPr>
        <w:pStyle w:val="Normal1"/>
        <w:widowControl/>
        <w:numPr>
          <w:ilvl w:val="0"/>
          <w:numId w:val="25"/>
        </w:numPr>
        <w:ind w:right="-290"/>
        <w:contextualSpacing/>
        <w:jc w:val="both"/>
        <w:rPr>
          <w:rFonts w:asciiTheme="majorHAnsi" w:hAnsiTheme="majorHAnsi" w:cstheme="majorHAnsi"/>
          <w:color w:val="215868" w:themeColor="accent5" w:themeShade="80"/>
        </w:rPr>
      </w:pPr>
      <w:r>
        <w:rPr>
          <w:rFonts w:asciiTheme="majorHAnsi" w:hAnsiTheme="majorHAnsi" w:cstheme="majorHAnsi"/>
          <w:color w:val="215868" w:themeColor="accent5" w:themeShade="80"/>
        </w:rPr>
        <w:t>S</w:t>
      </w:r>
      <w:r w:rsidR="00244936" w:rsidRPr="005A634C">
        <w:rPr>
          <w:rFonts w:asciiTheme="majorHAnsi" w:hAnsiTheme="majorHAnsi" w:cstheme="majorHAnsi"/>
          <w:color w:val="215868" w:themeColor="accent5" w:themeShade="80"/>
        </w:rPr>
        <w:t>et</w:t>
      </w:r>
      <w:r>
        <w:rPr>
          <w:rFonts w:asciiTheme="majorHAnsi" w:hAnsiTheme="majorHAnsi" w:cstheme="majorHAnsi"/>
          <w:color w:val="215868" w:themeColor="accent5" w:themeShade="80"/>
        </w:rPr>
        <w:t xml:space="preserve"> and exceed</w:t>
      </w:r>
      <w:r w:rsidR="00244936" w:rsidRPr="005A634C">
        <w:rPr>
          <w:rFonts w:asciiTheme="majorHAnsi" w:hAnsiTheme="majorHAnsi" w:cstheme="majorHAnsi"/>
          <w:color w:val="215868" w:themeColor="accent5" w:themeShade="80"/>
        </w:rPr>
        <w:t xml:space="preserve"> revenue goals for membership.</w:t>
      </w:r>
    </w:p>
    <w:p w14:paraId="05FE010E" w14:textId="77777777" w:rsidR="00040E9D" w:rsidRPr="005A634C" w:rsidRDefault="00244936" w:rsidP="00AA5514">
      <w:pPr>
        <w:pStyle w:val="Normal1"/>
        <w:widowControl/>
        <w:numPr>
          <w:ilvl w:val="0"/>
          <w:numId w:val="2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Work with Corporate Engagement team and CPO to finalize corporate membership.</w:t>
      </w:r>
    </w:p>
    <w:p w14:paraId="7C7B2224" w14:textId="734E05E1" w:rsidR="00040E9D" w:rsidRPr="005A634C" w:rsidRDefault="00244936" w:rsidP="00AA5514">
      <w:pPr>
        <w:pStyle w:val="Normal1"/>
        <w:widowControl/>
        <w:numPr>
          <w:ilvl w:val="0"/>
          <w:numId w:val="2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Corporate Engagement Team to collectively secure 25% new membership annually</w:t>
      </w:r>
      <w:r w:rsidR="005A634C">
        <w:rPr>
          <w:rFonts w:asciiTheme="majorHAnsi" w:hAnsiTheme="majorHAnsi" w:cstheme="majorHAnsi"/>
          <w:color w:val="215868" w:themeColor="accent5" w:themeShade="80"/>
        </w:rPr>
        <w:t>.</w:t>
      </w:r>
    </w:p>
    <w:p w14:paraId="1AD9B7CA"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2D6C8BD6"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Corporate Alliance Development</w:t>
      </w:r>
    </w:p>
    <w:p w14:paraId="383D6736" w14:textId="77777777" w:rsidR="00040E9D" w:rsidRPr="005A634C" w:rsidRDefault="00244936" w:rsidP="00AA5514">
      <w:pPr>
        <w:pStyle w:val="Normal1"/>
        <w:widowControl/>
        <w:numPr>
          <w:ilvl w:val="0"/>
          <w:numId w:val="24"/>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Help identify new potential strategic partners that will be instrumental in </w:t>
      </w:r>
      <w:r w:rsidR="00F93653" w:rsidRPr="005A634C">
        <w:rPr>
          <w:rFonts w:asciiTheme="majorHAnsi" w:hAnsiTheme="majorHAnsi" w:cstheme="majorHAnsi"/>
          <w:color w:val="215868" w:themeColor="accent5" w:themeShade="80"/>
        </w:rPr>
        <w:t>helping Global Genes achieve it</w:t>
      </w:r>
      <w:r w:rsidRPr="005A634C">
        <w:rPr>
          <w:rFonts w:asciiTheme="majorHAnsi" w:hAnsiTheme="majorHAnsi" w:cstheme="majorHAnsi"/>
          <w:color w:val="215868" w:themeColor="accent5" w:themeShade="80"/>
        </w:rPr>
        <w:t xml:space="preserve">s mission and goals.  </w:t>
      </w:r>
    </w:p>
    <w:p w14:paraId="26AD4D9F" w14:textId="77777777" w:rsidR="00040E9D" w:rsidRPr="005A634C" w:rsidRDefault="00244936" w:rsidP="00AA5514">
      <w:pPr>
        <w:pStyle w:val="Normal1"/>
        <w:widowControl/>
        <w:numPr>
          <w:ilvl w:val="0"/>
          <w:numId w:val="24"/>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Work directly with Senior Leadership team to develop partnerships.</w:t>
      </w:r>
    </w:p>
    <w:p w14:paraId="61879FC8"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2B099F63"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Corporate Alliance Program Development</w:t>
      </w:r>
    </w:p>
    <w:p w14:paraId="2B3469BD" w14:textId="77777777" w:rsidR="00040E9D" w:rsidRPr="005A634C" w:rsidRDefault="00244936" w:rsidP="00AA5514">
      <w:pPr>
        <w:pStyle w:val="Normal1"/>
        <w:widowControl/>
        <w:numPr>
          <w:ilvl w:val="0"/>
          <w:numId w:val="23"/>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Work within the Corporate Alliance to help ensure that programs developed within the committees are resourced, program managed and financed.</w:t>
      </w:r>
    </w:p>
    <w:p w14:paraId="658ACB94" w14:textId="77777777" w:rsidR="005A634C" w:rsidRDefault="00244936" w:rsidP="00AA5514">
      <w:pPr>
        <w:pStyle w:val="Normal1"/>
        <w:widowControl/>
        <w:numPr>
          <w:ilvl w:val="0"/>
          <w:numId w:val="23"/>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In many cases, committees will be working collaboratively with other Global Genes Advisory groups and Advisors.</w:t>
      </w:r>
    </w:p>
    <w:p w14:paraId="1BDA7281" w14:textId="77777777" w:rsidR="005A634C" w:rsidRDefault="005A634C" w:rsidP="005A634C">
      <w:pPr>
        <w:pStyle w:val="Normal1"/>
        <w:widowControl/>
        <w:ind w:right="-290"/>
        <w:contextualSpacing/>
        <w:jc w:val="both"/>
        <w:rPr>
          <w:rFonts w:asciiTheme="majorHAnsi" w:hAnsiTheme="majorHAnsi" w:cstheme="majorHAnsi"/>
          <w:color w:val="215868" w:themeColor="accent5" w:themeShade="80"/>
        </w:rPr>
      </w:pPr>
    </w:p>
    <w:p w14:paraId="609C8116" w14:textId="6EA19723" w:rsidR="00040E9D" w:rsidRPr="00740361" w:rsidRDefault="00244936" w:rsidP="005A634C">
      <w:pPr>
        <w:pStyle w:val="Normal1"/>
        <w:widowControl/>
        <w:ind w:left="-432"/>
        <w:contextualSpacing/>
        <w:jc w:val="both"/>
        <w:rPr>
          <w:rFonts w:asciiTheme="majorHAnsi" w:hAnsiTheme="majorHAnsi" w:cstheme="majorHAnsi"/>
          <w:color w:val="215868" w:themeColor="accent5" w:themeShade="80"/>
        </w:rPr>
      </w:pPr>
      <w:r w:rsidRPr="00740361">
        <w:rPr>
          <w:rFonts w:asciiTheme="majorHAnsi" w:hAnsiTheme="majorHAnsi" w:cstheme="majorHAnsi"/>
          <w:b/>
          <w:color w:val="215868" w:themeColor="accent5" w:themeShade="80"/>
        </w:rPr>
        <w:t>Patient Engagement Event</w:t>
      </w:r>
      <w:r w:rsidR="00740361">
        <w:rPr>
          <w:rFonts w:asciiTheme="majorHAnsi" w:hAnsiTheme="majorHAnsi" w:cstheme="majorHAnsi"/>
          <w:b/>
          <w:color w:val="215868" w:themeColor="accent5" w:themeShade="80"/>
        </w:rPr>
        <w:t>s</w:t>
      </w:r>
      <w:r w:rsidRPr="00740361">
        <w:rPr>
          <w:rFonts w:asciiTheme="majorHAnsi" w:hAnsiTheme="majorHAnsi" w:cstheme="majorHAnsi"/>
          <w:b/>
          <w:color w:val="215868" w:themeColor="accent5" w:themeShade="80"/>
        </w:rPr>
        <w:t xml:space="preserve"> &amp; Program Support</w:t>
      </w:r>
    </w:p>
    <w:p w14:paraId="6F111F3A" w14:textId="77777777" w:rsidR="00040E9D" w:rsidRPr="00740361" w:rsidRDefault="00040E9D" w:rsidP="005A634C">
      <w:pPr>
        <w:pStyle w:val="Normal1"/>
        <w:ind w:left="-432" w:hanging="15"/>
        <w:jc w:val="both"/>
        <w:rPr>
          <w:rFonts w:asciiTheme="majorHAnsi" w:hAnsiTheme="majorHAnsi" w:cstheme="majorHAnsi"/>
          <w:color w:val="215868" w:themeColor="accent5" w:themeShade="80"/>
        </w:rPr>
      </w:pPr>
    </w:p>
    <w:p w14:paraId="7EE7E608" w14:textId="2C80840E" w:rsidR="00040E9D" w:rsidRPr="00740361" w:rsidRDefault="00244936" w:rsidP="00740361">
      <w:pPr>
        <w:pStyle w:val="Normal1"/>
        <w:ind w:left="-15"/>
        <w:jc w:val="both"/>
        <w:rPr>
          <w:rFonts w:asciiTheme="majorHAnsi" w:hAnsiTheme="majorHAnsi" w:cstheme="majorHAnsi"/>
          <w:color w:val="215868" w:themeColor="accent5" w:themeShade="80"/>
        </w:rPr>
      </w:pPr>
      <w:r w:rsidRPr="00740361">
        <w:rPr>
          <w:rFonts w:asciiTheme="majorHAnsi" w:hAnsiTheme="majorHAnsi" w:cstheme="majorHAnsi"/>
          <w:b/>
          <w:color w:val="215868" w:themeColor="accent5" w:themeShade="80"/>
        </w:rPr>
        <w:t>Annual Signature Events: Global Genes Patient Summit</w:t>
      </w:r>
      <w:r w:rsidR="00740361">
        <w:rPr>
          <w:rFonts w:asciiTheme="majorHAnsi" w:hAnsiTheme="majorHAnsi" w:cstheme="majorHAnsi"/>
          <w:b/>
          <w:color w:val="215868" w:themeColor="accent5" w:themeShade="80"/>
        </w:rPr>
        <w:t>, T</w:t>
      </w:r>
      <w:r w:rsidRPr="00740361">
        <w:rPr>
          <w:rFonts w:asciiTheme="majorHAnsi" w:hAnsiTheme="majorHAnsi" w:cstheme="majorHAnsi"/>
          <w:b/>
          <w:color w:val="215868" w:themeColor="accent5" w:themeShade="80"/>
        </w:rPr>
        <w:t xml:space="preserve">ribute </w:t>
      </w:r>
      <w:r w:rsidR="00740361">
        <w:rPr>
          <w:rFonts w:asciiTheme="majorHAnsi" w:hAnsiTheme="majorHAnsi" w:cstheme="majorHAnsi"/>
          <w:b/>
          <w:color w:val="215868" w:themeColor="accent5" w:themeShade="80"/>
        </w:rPr>
        <w:t>to Champions of Hope</w:t>
      </w:r>
      <w:r w:rsidRPr="00740361">
        <w:rPr>
          <w:rFonts w:asciiTheme="majorHAnsi" w:hAnsiTheme="majorHAnsi" w:cstheme="majorHAnsi"/>
          <w:b/>
          <w:color w:val="215868" w:themeColor="accent5" w:themeShade="80"/>
        </w:rPr>
        <w:t>, Partner Events, and Legacy Custom Events</w:t>
      </w:r>
    </w:p>
    <w:p w14:paraId="2170CBC0"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7F454E8D"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 xml:space="preserve">Funding </w:t>
      </w:r>
    </w:p>
    <w:p w14:paraId="20E37435" w14:textId="77777777" w:rsidR="00040E9D" w:rsidRPr="005A634C" w:rsidRDefault="00244936" w:rsidP="00AA5514">
      <w:pPr>
        <w:pStyle w:val="Normal1"/>
        <w:numPr>
          <w:ilvl w:val="0"/>
          <w:numId w:val="22"/>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Meet or exceed all revenue goals set for Patient Advocacy Summit sponsorship support.</w:t>
      </w:r>
    </w:p>
    <w:p w14:paraId="50EDC7D4" w14:textId="77777777" w:rsidR="00040E9D" w:rsidRPr="005A634C" w:rsidRDefault="00244936" w:rsidP="00AA5514">
      <w:pPr>
        <w:pStyle w:val="Normal1"/>
        <w:widowControl/>
        <w:numPr>
          <w:ilvl w:val="0"/>
          <w:numId w:val="22"/>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Meet or exceed all revenue goals set for Tribute to Champions of Hope Annual Event.</w:t>
      </w:r>
    </w:p>
    <w:p w14:paraId="4D180128" w14:textId="77777777" w:rsidR="00040E9D" w:rsidRPr="005A634C" w:rsidRDefault="00244936" w:rsidP="00AA5514">
      <w:pPr>
        <w:pStyle w:val="Normal1"/>
        <w:widowControl/>
        <w:numPr>
          <w:ilvl w:val="0"/>
          <w:numId w:val="22"/>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Work closely with sponsors to identify relevant sponsorship programs that meet the needs of the organization in addition to the patient communities that they serve.</w:t>
      </w:r>
    </w:p>
    <w:p w14:paraId="2CF14003"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6E36FB3F" w14:textId="1DA8FB43"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Patient Engagement Program Support</w:t>
      </w:r>
      <w:r w:rsidR="00740361">
        <w:rPr>
          <w:rFonts w:asciiTheme="majorHAnsi" w:hAnsiTheme="majorHAnsi" w:cstheme="majorHAnsi"/>
          <w:b/>
          <w:color w:val="215868" w:themeColor="accent5" w:themeShade="80"/>
        </w:rPr>
        <w:t>:</w:t>
      </w:r>
      <w:r w:rsidRPr="005A634C">
        <w:rPr>
          <w:rFonts w:asciiTheme="majorHAnsi" w:hAnsiTheme="majorHAnsi" w:cstheme="majorHAnsi"/>
          <w:b/>
          <w:color w:val="215868" w:themeColor="accent5" w:themeShade="80"/>
        </w:rPr>
        <w:t xml:space="preserve"> RARE Toolkits, RARE Webinars, RARE Insights, RARE Daily, RARECast, and other educational programs and events.</w:t>
      </w:r>
    </w:p>
    <w:p w14:paraId="4E5190A7"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2A273EBF"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Funding</w:t>
      </w:r>
    </w:p>
    <w:p w14:paraId="3E9EE454" w14:textId="77777777" w:rsidR="00040E9D" w:rsidRPr="005A634C" w:rsidRDefault="00244936" w:rsidP="00AA5514">
      <w:pPr>
        <w:pStyle w:val="Normal1"/>
        <w:widowControl/>
        <w:numPr>
          <w:ilvl w:val="0"/>
          <w:numId w:val="21"/>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Ensure that all Patient Engagement Programs are funded.</w:t>
      </w:r>
    </w:p>
    <w:p w14:paraId="70AA342B" w14:textId="76BBEFF6" w:rsidR="00040E9D" w:rsidRPr="005A634C" w:rsidRDefault="00244936" w:rsidP="00AA5514">
      <w:pPr>
        <w:pStyle w:val="Normal1"/>
        <w:widowControl/>
        <w:numPr>
          <w:ilvl w:val="0"/>
          <w:numId w:val="21"/>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Meet or exceed set Patient Engagement Program revenue goals. </w:t>
      </w:r>
    </w:p>
    <w:p w14:paraId="4CA044AA" w14:textId="77777777" w:rsidR="00040E9D" w:rsidRPr="005A634C" w:rsidRDefault="00244936" w:rsidP="00AA5514">
      <w:pPr>
        <w:pStyle w:val="Normal1"/>
        <w:widowControl/>
        <w:numPr>
          <w:ilvl w:val="0"/>
          <w:numId w:val="21"/>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Incorporate funding support into integrated proposals to biotech and pharma partners.</w:t>
      </w:r>
    </w:p>
    <w:p w14:paraId="3B770F17"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618ABD52"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 xml:space="preserve">Educational Programs – Content Development </w:t>
      </w:r>
    </w:p>
    <w:p w14:paraId="228DD612" w14:textId="77777777" w:rsidR="00040E9D" w:rsidRPr="005A634C" w:rsidRDefault="00244936" w:rsidP="00AA5514">
      <w:pPr>
        <w:pStyle w:val="Normal1"/>
        <w:widowControl/>
        <w:numPr>
          <w:ilvl w:val="0"/>
          <w:numId w:val="20"/>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Instrumental in content development related to all Patient Engagement Programs.</w:t>
      </w:r>
    </w:p>
    <w:p w14:paraId="365A3DDE" w14:textId="77777777" w:rsidR="00040E9D" w:rsidRPr="005A634C" w:rsidRDefault="00244936" w:rsidP="00AA5514">
      <w:pPr>
        <w:pStyle w:val="Normal1"/>
        <w:widowControl/>
        <w:numPr>
          <w:ilvl w:val="0"/>
          <w:numId w:val="20"/>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Work closely with Patient Engagement Team to help align content requests from industry with content requests from patient advocacy which includes all Global Genes events, tools and resources.</w:t>
      </w:r>
    </w:p>
    <w:p w14:paraId="3F043282" w14:textId="77777777" w:rsidR="00040E9D" w:rsidRPr="005A634C" w:rsidRDefault="00244936" w:rsidP="005A634C">
      <w:pPr>
        <w:pStyle w:val="Normal1"/>
        <w:widowControl/>
        <w:ind w:right="-290"/>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b/>
      </w:r>
    </w:p>
    <w:p w14:paraId="1F127C4C" w14:textId="77777777" w:rsidR="00040E9D" w:rsidRPr="005A634C" w:rsidRDefault="00244936" w:rsidP="00740361">
      <w:pPr>
        <w:pStyle w:val="Normal1"/>
        <w:widowControl/>
        <w:ind w:right="-290"/>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Program Support</w:t>
      </w:r>
    </w:p>
    <w:p w14:paraId="233725A2" w14:textId="77777777" w:rsidR="00040E9D" w:rsidRPr="005A634C" w:rsidRDefault="00244936" w:rsidP="00AA5514">
      <w:pPr>
        <w:pStyle w:val="Normal1"/>
        <w:widowControl/>
        <w:numPr>
          <w:ilvl w:val="0"/>
          <w:numId w:val="19"/>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Provide Program Support where needed, including but not limited to events, patient programs, the development and distribution of resources and tools, webinars/webcasts and other areas designated by the team.</w:t>
      </w:r>
    </w:p>
    <w:p w14:paraId="15AB9045" w14:textId="77777777" w:rsidR="00040E9D" w:rsidRPr="005A634C" w:rsidRDefault="00040E9D" w:rsidP="005A634C">
      <w:pPr>
        <w:pStyle w:val="Normal1"/>
        <w:widowControl/>
        <w:ind w:right="-290"/>
        <w:jc w:val="both"/>
        <w:rPr>
          <w:rFonts w:asciiTheme="majorHAnsi" w:hAnsiTheme="majorHAnsi" w:cstheme="majorHAnsi"/>
          <w:color w:val="215868" w:themeColor="accent5" w:themeShade="80"/>
        </w:rPr>
      </w:pPr>
    </w:p>
    <w:p w14:paraId="71CA676D" w14:textId="7EBB8133" w:rsidR="00040E9D" w:rsidRPr="005A634C" w:rsidRDefault="00244936" w:rsidP="00740361">
      <w:pPr>
        <w:pStyle w:val="Normal1"/>
        <w:ind w:left="-432" w:right="-290"/>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Financial</w:t>
      </w:r>
      <w:r w:rsidR="00740361">
        <w:rPr>
          <w:rFonts w:asciiTheme="majorHAnsi" w:hAnsiTheme="majorHAnsi" w:cstheme="majorHAnsi"/>
          <w:b/>
          <w:color w:val="215868" w:themeColor="accent5" w:themeShade="80"/>
        </w:rPr>
        <w:t xml:space="preserve"> &amp; </w:t>
      </w:r>
      <w:r w:rsidRPr="005A634C">
        <w:rPr>
          <w:rFonts w:asciiTheme="majorHAnsi" w:hAnsiTheme="majorHAnsi" w:cstheme="majorHAnsi"/>
          <w:b/>
          <w:color w:val="215868" w:themeColor="accent5" w:themeShade="80"/>
        </w:rPr>
        <w:t>Administrative</w:t>
      </w:r>
    </w:p>
    <w:p w14:paraId="7CEEC1EC" w14:textId="43B4DC2D" w:rsidR="00040E9D" w:rsidRPr="005A634C" w:rsidRDefault="00740361" w:rsidP="005A634C">
      <w:pPr>
        <w:pStyle w:val="Normal1"/>
        <w:ind w:right="-290" w:hanging="15"/>
        <w:jc w:val="both"/>
        <w:rPr>
          <w:rFonts w:asciiTheme="majorHAnsi" w:hAnsiTheme="majorHAnsi" w:cstheme="majorHAnsi"/>
          <w:color w:val="215868" w:themeColor="accent5" w:themeShade="80"/>
        </w:rPr>
      </w:pPr>
      <w:r>
        <w:rPr>
          <w:rFonts w:asciiTheme="majorHAnsi" w:hAnsiTheme="majorHAnsi" w:cstheme="majorHAnsi"/>
          <w:b/>
          <w:color w:val="215868" w:themeColor="accent5" w:themeShade="80"/>
        </w:rPr>
        <w:br/>
      </w:r>
      <w:r w:rsidR="00244936" w:rsidRPr="005A634C">
        <w:rPr>
          <w:rFonts w:asciiTheme="majorHAnsi" w:hAnsiTheme="majorHAnsi" w:cstheme="majorHAnsi"/>
          <w:b/>
          <w:color w:val="215868" w:themeColor="accent5" w:themeShade="80"/>
        </w:rPr>
        <w:t xml:space="preserve">Business Development  </w:t>
      </w:r>
    </w:p>
    <w:p w14:paraId="6E92685A" w14:textId="77777777" w:rsidR="00040E9D" w:rsidRPr="005A634C" w:rsidRDefault="00244936" w:rsidP="00AA5514">
      <w:pPr>
        <w:pStyle w:val="Normal1"/>
        <w:widowControl/>
        <w:numPr>
          <w:ilvl w:val="0"/>
          <w:numId w:val="18"/>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Actively identify new business leads from external sources.</w:t>
      </w:r>
    </w:p>
    <w:p w14:paraId="01BA3B03" w14:textId="77777777" w:rsidR="00040E9D" w:rsidRPr="005A634C" w:rsidRDefault="00244936" w:rsidP="00AA5514">
      <w:pPr>
        <w:pStyle w:val="Normal1"/>
        <w:widowControl/>
        <w:numPr>
          <w:ilvl w:val="0"/>
          <w:numId w:val="18"/>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Identify and pursue organic growth opportunities with current clients.</w:t>
      </w:r>
    </w:p>
    <w:p w14:paraId="60768E5F" w14:textId="77777777" w:rsidR="00040E9D" w:rsidRPr="005A634C" w:rsidRDefault="00244936" w:rsidP="00AA5514">
      <w:pPr>
        <w:pStyle w:val="Normal1"/>
        <w:widowControl/>
        <w:numPr>
          <w:ilvl w:val="0"/>
          <w:numId w:val="18"/>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lastRenderedPageBreak/>
        <w:t>Annually, new revenue goals will be set in early Q4 with input and realistic projections from Director, Corporate Engagement.</w:t>
      </w:r>
    </w:p>
    <w:p w14:paraId="3F40B9C4" w14:textId="77777777" w:rsidR="00040E9D" w:rsidRPr="005A634C" w:rsidRDefault="00040E9D" w:rsidP="005A634C">
      <w:pPr>
        <w:pStyle w:val="Normal1"/>
        <w:widowControl/>
        <w:ind w:right="-290"/>
        <w:jc w:val="both"/>
        <w:rPr>
          <w:rFonts w:asciiTheme="majorHAnsi" w:hAnsiTheme="majorHAnsi" w:cstheme="majorHAnsi"/>
          <w:color w:val="215868" w:themeColor="accent5" w:themeShade="80"/>
        </w:rPr>
      </w:pPr>
    </w:p>
    <w:p w14:paraId="31236A39" w14:textId="77777777" w:rsidR="00040E9D" w:rsidRPr="005A634C" w:rsidRDefault="00244936" w:rsidP="005A634C">
      <w:pPr>
        <w:pStyle w:val="Normal1"/>
        <w:widowControl/>
        <w:ind w:right="-290"/>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Administrative</w:t>
      </w:r>
    </w:p>
    <w:p w14:paraId="36AED444" w14:textId="1E5D70AC" w:rsidR="00040E9D" w:rsidRPr="005A634C" w:rsidRDefault="00244936" w:rsidP="00AA5514">
      <w:pPr>
        <w:pStyle w:val="Normal1"/>
        <w:widowControl/>
        <w:numPr>
          <w:ilvl w:val="0"/>
          <w:numId w:val="17"/>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Develop and manage budgets, timelines and projection</w:t>
      </w:r>
      <w:r w:rsidR="004119A1" w:rsidRPr="005A634C">
        <w:rPr>
          <w:rFonts w:asciiTheme="majorHAnsi" w:hAnsiTheme="majorHAnsi" w:cstheme="majorHAnsi"/>
          <w:color w:val="215868" w:themeColor="accent5" w:themeShade="80"/>
        </w:rPr>
        <w:t xml:space="preserve">s monthly, and assist </w:t>
      </w:r>
      <w:r w:rsidRPr="005A634C">
        <w:rPr>
          <w:rFonts w:asciiTheme="majorHAnsi" w:hAnsiTheme="majorHAnsi" w:cstheme="majorHAnsi"/>
          <w:color w:val="215868" w:themeColor="accent5" w:themeShade="80"/>
        </w:rPr>
        <w:t>Corporate Engagement</w:t>
      </w:r>
      <w:r w:rsidR="004119A1" w:rsidRPr="005A634C">
        <w:rPr>
          <w:rFonts w:asciiTheme="majorHAnsi" w:hAnsiTheme="majorHAnsi" w:cstheme="majorHAnsi"/>
          <w:color w:val="215868" w:themeColor="accent5" w:themeShade="80"/>
        </w:rPr>
        <w:t xml:space="preserve"> team with</w:t>
      </w:r>
      <w:r w:rsidRPr="005A634C">
        <w:rPr>
          <w:rFonts w:asciiTheme="majorHAnsi" w:hAnsiTheme="majorHAnsi" w:cstheme="majorHAnsi"/>
          <w:color w:val="215868" w:themeColor="accent5" w:themeShade="80"/>
        </w:rPr>
        <w:t xml:space="preserve"> annual budgeting</w:t>
      </w:r>
      <w:r w:rsidR="004119A1" w:rsidRPr="005A634C">
        <w:rPr>
          <w:rFonts w:asciiTheme="majorHAnsi" w:hAnsiTheme="majorHAnsi" w:cstheme="majorHAnsi"/>
          <w:color w:val="215868" w:themeColor="accent5" w:themeShade="80"/>
        </w:rPr>
        <w:t xml:space="preserve"> and </w:t>
      </w:r>
      <w:r w:rsidR="00AA5514" w:rsidRPr="005A634C">
        <w:rPr>
          <w:rFonts w:asciiTheme="majorHAnsi" w:hAnsiTheme="majorHAnsi" w:cstheme="majorHAnsi"/>
          <w:color w:val="215868" w:themeColor="accent5" w:themeShade="80"/>
        </w:rPr>
        <w:t>forecasting</w:t>
      </w:r>
      <w:r w:rsidRPr="005A634C">
        <w:rPr>
          <w:rFonts w:asciiTheme="majorHAnsi" w:hAnsiTheme="majorHAnsi" w:cstheme="majorHAnsi"/>
          <w:color w:val="215868" w:themeColor="accent5" w:themeShade="80"/>
        </w:rPr>
        <w:t>.</w:t>
      </w:r>
    </w:p>
    <w:p w14:paraId="6C11FA16" w14:textId="354C244A" w:rsidR="00040E9D" w:rsidRPr="005A634C" w:rsidRDefault="004119A1" w:rsidP="00AA5514">
      <w:pPr>
        <w:pStyle w:val="Normal1"/>
        <w:widowControl/>
        <w:numPr>
          <w:ilvl w:val="0"/>
          <w:numId w:val="17"/>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Work with Finance Manager to e</w:t>
      </w:r>
      <w:r w:rsidR="00244936" w:rsidRPr="005A634C">
        <w:rPr>
          <w:rFonts w:asciiTheme="majorHAnsi" w:hAnsiTheme="majorHAnsi" w:cstheme="majorHAnsi"/>
          <w:color w:val="215868" w:themeColor="accent5" w:themeShade="80"/>
        </w:rPr>
        <w:t>nsure monthly invoicing and activity reporting for each client is completed, and ensure that it is completed in a comprehensive and timely manner.</w:t>
      </w:r>
    </w:p>
    <w:p w14:paraId="08B3FF7A" w14:textId="678450AB" w:rsidR="00040E9D" w:rsidRPr="005A634C" w:rsidRDefault="00244936" w:rsidP="00AA5514">
      <w:pPr>
        <w:pStyle w:val="Normal1"/>
        <w:widowControl/>
        <w:numPr>
          <w:ilvl w:val="0"/>
          <w:numId w:val="17"/>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Ensure all data,</w:t>
      </w:r>
      <w:r w:rsidR="004119A1" w:rsidRPr="005A634C">
        <w:rPr>
          <w:rFonts w:asciiTheme="majorHAnsi" w:hAnsiTheme="majorHAnsi" w:cstheme="majorHAnsi"/>
          <w:color w:val="215868" w:themeColor="accent5" w:themeShade="80"/>
        </w:rPr>
        <w:t xml:space="preserve"> contacts, and correspondence are</w:t>
      </w:r>
      <w:r w:rsidRPr="005A634C">
        <w:rPr>
          <w:rFonts w:asciiTheme="majorHAnsi" w:hAnsiTheme="majorHAnsi" w:cstheme="majorHAnsi"/>
          <w:color w:val="215868" w:themeColor="accent5" w:themeShade="80"/>
        </w:rPr>
        <w:t xml:space="preserve"> uploaded and managed effectively in Salesforce daily.</w:t>
      </w:r>
    </w:p>
    <w:p w14:paraId="7C5CAAEE" w14:textId="77777777" w:rsidR="00040E9D" w:rsidRPr="005A634C" w:rsidRDefault="00040E9D" w:rsidP="005A634C">
      <w:pPr>
        <w:pStyle w:val="Normal1"/>
        <w:ind w:right="-290" w:hanging="15"/>
        <w:jc w:val="both"/>
        <w:rPr>
          <w:rFonts w:asciiTheme="majorHAnsi" w:hAnsiTheme="majorHAnsi" w:cstheme="majorHAnsi"/>
          <w:color w:val="215868" w:themeColor="accent5" w:themeShade="80"/>
        </w:rPr>
      </w:pPr>
    </w:p>
    <w:p w14:paraId="0A1674D6" w14:textId="77777777" w:rsidR="00040E9D" w:rsidRPr="005A634C" w:rsidRDefault="00244936" w:rsidP="005A634C">
      <w:pPr>
        <w:pStyle w:val="Normal1"/>
        <w:ind w:right="-290" w:hanging="15"/>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Travel</w:t>
      </w:r>
    </w:p>
    <w:p w14:paraId="1A8CD956" w14:textId="77777777" w:rsidR="00040E9D" w:rsidRPr="005A634C" w:rsidRDefault="00244936" w:rsidP="00AA5514">
      <w:pPr>
        <w:pStyle w:val="Normal1"/>
        <w:widowControl/>
        <w:numPr>
          <w:ilvl w:val="0"/>
          <w:numId w:val="16"/>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Travel approximately 25-35% to meet with existing and potential industry partners and prospects and to relevant conferences and other key events.</w:t>
      </w:r>
    </w:p>
    <w:p w14:paraId="287A766F" w14:textId="7A587271" w:rsidR="00040E9D" w:rsidRPr="005A634C" w:rsidRDefault="00244936" w:rsidP="00AA5514">
      <w:pPr>
        <w:pStyle w:val="Normal1"/>
        <w:widowControl/>
        <w:numPr>
          <w:ilvl w:val="0"/>
          <w:numId w:val="16"/>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Adhere to all travel policies outlined in employee manual and as updated regularly by Global Genes executive management</w:t>
      </w:r>
      <w:r w:rsidR="00740361">
        <w:rPr>
          <w:rFonts w:asciiTheme="majorHAnsi" w:hAnsiTheme="majorHAnsi" w:cstheme="majorHAnsi"/>
          <w:color w:val="215868" w:themeColor="accent5" w:themeShade="80"/>
        </w:rPr>
        <w:t>.</w:t>
      </w:r>
    </w:p>
    <w:p w14:paraId="7D1E5105" w14:textId="2E2B4F10" w:rsidR="00040E9D" w:rsidRPr="005A634C" w:rsidRDefault="00244936" w:rsidP="00AA5514">
      <w:pPr>
        <w:pStyle w:val="Normal1"/>
        <w:widowControl/>
        <w:numPr>
          <w:ilvl w:val="0"/>
          <w:numId w:val="16"/>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Adhere to all reimbursement policies outlined in employee manual and as updated regularly by Global Genes executive management</w:t>
      </w:r>
      <w:r w:rsidR="00740361">
        <w:rPr>
          <w:rFonts w:asciiTheme="majorHAnsi" w:hAnsiTheme="majorHAnsi" w:cstheme="majorHAnsi"/>
          <w:color w:val="215868" w:themeColor="accent5" w:themeShade="80"/>
        </w:rPr>
        <w:t>.</w:t>
      </w:r>
    </w:p>
    <w:p w14:paraId="0F171EB6" w14:textId="211B39C9" w:rsidR="00040E9D" w:rsidRPr="005A634C" w:rsidRDefault="00244936" w:rsidP="00AA5514">
      <w:pPr>
        <w:pStyle w:val="Normal1"/>
        <w:widowControl/>
        <w:numPr>
          <w:ilvl w:val="0"/>
          <w:numId w:val="16"/>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Timely reporting and submission of expenses every </w:t>
      </w:r>
      <w:r w:rsidR="00740361">
        <w:rPr>
          <w:rFonts w:asciiTheme="majorHAnsi" w:hAnsiTheme="majorHAnsi" w:cstheme="majorHAnsi"/>
          <w:color w:val="215868" w:themeColor="accent5" w:themeShade="80"/>
        </w:rPr>
        <w:t>two</w:t>
      </w:r>
      <w:r w:rsidRPr="005A634C">
        <w:rPr>
          <w:rFonts w:asciiTheme="majorHAnsi" w:hAnsiTheme="majorHAnsi" w:cstheme="majorHAnsi"/>
          <w:color w:val="215868" w:themeColor="accent5" w:themeShade="80"/>
        </w:rPr>
        <w:t xml:space="preserve"> weeks.</w:t>
      </w:r>
    </w:p>
    <w:p w14:paraId="1DFC2DF9" w14:textId="77777777" w:rsidR="00040E9D" w:rsidRPr="005A634C" w:rsidRDefault="00040E9D" w:rsidP="005A634C">
      <w:pPr>
        <w:pStyle w:val="Normal1"/>
        <w:ind w:right="-290"/>
        <w:jc w:val="both"/>
        <w:rPr>
          <w:rFonts w:asciiTheme="majorHAnsi" w:hAnsiTheme="majorHAnsi" w:cstheme="majorHAnsi"/>
          <w:color w:val="215868" w:themeColor="accent5" w:themeShade="80"/>
        </w:rPr>
      </w:pPr>
    </w:p>
    <w:p w14:paraId="6E7C634D" w14:textId="77777777" w:rsidR="00040E9D" w:rsidRPr="005A634C" w:rsidRDefault="00244936" w:rsidP="005A634C">
      <w:pPr>
        <w:pStyle w:val="Normal1"/>
        <w:ind w:right="-290"/>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Professionalism</w:t>
      </w:r>
    </w:p>
    <w:p w14:paraId="34FA6381" w14:textId="79A52869" w:rsidR="00040E9D" w:rsidRPr="005A634C" w:rsidRDefault="00244936" w:rsidP="00AA5514">
      <w:pPr>
        <w:pStyle w:val="Normal1"/>
        <w:widowControl/>
        <w:numPr>
          <w:ilvl w:val="0"/>
          <w:numId w:val="1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Support the </w:t>
      </w:r>
      <w:r w:rsidR="00740361">
        <w:rPr>
          <w:rFonts w:asciiTheme="majorHAnsi" w:hAnsiTheme="majorHAnsi" w:cstheme="majorHAnsi"/>
          <w:color w:val="215868" w:themeColor="accent5" w:themeShade="80"/>
        </w:rPr>
        <w:t>organization’s</w:t>
      </w:r>
      <w:r w:rsidRPr="005A634C">
        <w:rPr>
          <w:rFonts w:asciiTheme="majorHAnsi" w:hAnsiTheme="majorHAnsi" w:cstheme="majorHAnsi"/>
          <w:color w:val="215868" w:themeColor="accent5" w:themeShade="80"/>
        </w:rPr>
        <w:t xml:space="preserve"> mission, vision and values</w:t>
      </w:r>
    </w:p>
    <w:p w14:paraId="04C82050" w14:textId="77777777" w:rsidR="00040E9D" w:rsidRPr="005A634C" w:rsidRDefault="00244936" w:rsidP="00AA5514">
      <w:pPr>
        <w:pStyle w:val="Normal1"/>
        <w:widowControl/>
        <w:numPr>
          <w:ilvl w:val="0"/>
          <w:numId w:val="1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Represent the company well in both internal and external interactions</w:t>
      </w:r>
    </w:p>
    <w:p w14:paraId="0C8C4561" w14:textId="77777777" w:rsidR="00040E9D" w:rsidRPr="005A634C" w:rsidRDefault="00244936" w:rsidP="00AA5514">
      <w:pPr>
        <w:pStyle w:val="Normal1"/>
        <w:widowControl/>
        <w:numPr>
          <w:ilvl w:val="0"/>
          <w:numId w:val="1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Take a solution-driven approach to problem solving in order to address challenges presented by clients and the industry at large.</w:t>
      </w:r>
    </w:p>
    <w:p w14:paraId="7C4E4312" w14:textId="77777777" w:rsidR="00040E9D" w:rsidRPr="005A634C" w:rsidRDefault="00244936" w:rsidP="00AA5514">
      <w:pPr>
        <w:pStyle w:val="Normal1"/>
        <w:widowControl/>
        <w:numPr>
          <w:ilvl w:val="0"/>
          <w:numId w:val="1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Accept and provide constructive criticism in order to deliver the highest-possible work product.</w:t>
      </w:r>
    </w:p>
    <w:p w14:paraId="61700984" w14:textId="77777777" w:rsidR="00040E9D" w:rsidRPr="005A634C" w:rsidRDefault="00244936" w:rsidP="00AA5514">
      <w:pPr>
        <w:pStyle w:val="Normal1"/>
        <w:widowControl/>
        <w:numPr>
          <w:ilvl w:val="0"/>
          <w:numId w:val="1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Act with a high degree of independence, demonstrating responsibility for account and client relationships.</w:t>
      </w:r>
    </w:p>
    <w:p w14:paraId="2229F016" w14:textId="77777777" w:rsidR="00040E9D" w:rsidRPr="005A634C" w:rsidRDefault="00244936" w:rsidP="00AA5514">
      <w:pPr>
        <w:pStyle w:val="Normal1"/>
        <w:widowControl/>
        <w:numPr>
          <w:ilvl w:val="0"/>
          <w:numId w:val="15"/>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Continually seek new ways to learn, improve and contribute.</w:t>
      </w:r>
    </w:p>
    <w:p w14:paraId="3DEC3B62" w14:textId="77777777" w:rsidR="00040E9D" w:rsidRPr="005A634C" w:rsidRDefault="00040E9D" w:rsidP="005A634C">
      <w:pPr>
        <w:pStyle w:val="Normal1"/>
        <w:widowControl/>
        <w:ind w:right="-290"/>
        <w:jc w:val="both"/>
        <w:rPr>
          <w:rFonts w:asciiTheme="majorHAnsi" w:hAnsiTheme="majorHAnsi" w:cstheme="majorHAnsi"/>
          <w:color w:val="215868" w:themeColor="accent5" w:themeShade="80"/>
        </w:rPr>
      </w:pPr>
    </w:p>
    <w:p w14:paraId="2AAEEBB4" w14:textId="77777777" w:rsidR="00040E9D" w:rsidRPr="005A634C" w:rsidRDefault="00244936" w:rsidP="005A634C">
      <w:pPr>
        <w:pStyle w:val="Normal1"/>
        <w:widowControl/>
        <w:ind w:right="-290"/>
        <w:jc w:val="both"/>
        <w:rPr>
          <w:rFonts w:asciiTheme="majorHAnsi" w:hAnsiTheme="majorHAnsi" w:cstheme="majorHAnsi"/>
          <w:color w:val="215868" w:themeColor="accent5" w:themeShade="80"/>
        </w:rPr>
      </w:pPr>
      <w:r w:rsidRPr="005A634C">
        <w:rPr>
          <w:rFonts w:asciiTheme="majorHAnsi" w:hAnsiTheme="majorHAnsi" w:cstheme="majorHAnsi"/>
          <w:b/>
          <w:color w:val="215868" w:themeColor="accent5" w:themeShade="80"/>
        </w:rPr>
        <w:t>Other Considerations</w:t>
      </w:r>
    </w:p>
    <w:p w14:paraId="13952EB6" w14:textId="2B0E7054" w:rsidR="00040E9D" w:rsidRPr="005A634C" w:rsidRDefault="00F93653" w:rsidP="00AA5514">
      <w:pPr>
        <w:pStyle w:val="Normal1"/>
        <w:widowControl/>
        <w:numPr>
          <w:ilvl w:val="0"/>
          <w:numId w:val="14"/>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As</w:t>
      </w:r>
      <w:r w:rsidR="00244936" w:rsidRPr="005A634C">
        <w:rPr>
          <w:rFonts w:asciiTheme="majorHAnsi" w:hAnsiTheme="majorHAnsi" w:cstheme="majorHAnsi"/>
          <w:color w:val="215868" w:themeColor="accent5" w:themeShade="80"/>
        </w:rPr>
        <w:t xml:space="preserve"> a Field Based </w:t>
      </w:r>
      <w:r w:rsidRPr="005A634C">
        <w:rPr>
          <w:rFonts w:asciiTheme="majorHAnsi" w:hAnsiTheme="majorHAnsi" w:cstheme="majorHAnsi"/>
          <w:color w:val="215868" w:themeColor="accent5" w:themeShade="80"/>
        </w:rPr>
        <w:t>contractor,</w:t>
      </w:r>
      <w:r w:rsidR="00244936" w:rsidRPr="005A634C">
        <w:rPr>
          <w:rFonts w:asciiTheme="majorHAnsi" w:hAnsiTheme="majorHAnsi" w:cstheme="majorHAnsi"/>
          <w:color w:val="215868" w:themeColor="accent5" w:themeShade="80"/>
        </w:rPr>
        <w:t xml:space="preserve"> you will need to collaborate with </w:t>
      </w:r>
      <w:r w:rsidR="004119A1" w:rsidRPr="005A634C">
        <w:rPr>
          <w:rFonts w:asciiTheme="majorHAnsi" w:hAnsiTheme="majorHAnsi" w:cstheme="majorHAnsi"/>
          <w:color w:val="215868" w:themeColor="accent5" w:themeShade="80"/>
        </w:rPr>
        <w:t>the Corp</w:t>
      </w:r>
      <w:r w:rsidR="00740361">
        <w:rPr>
          <w:rFonts w:asciiTheme="majorHAnsi" w:hAnsiTheme="majorHAnsi" w:cstheme="majorHAnsi"/>
          <w:color w:val="215868" w:themeColor="accent5" w:themeShade="80"/>
        </w:rPr>
        <w:t>orate</w:t>
      </w:r>
      <w:r w:rsidR="004119A1" w:rsidRPr="005A634C">
        <w:rPr>
          <w:rFonts w:asciiTheme="majorHAnsi" w:hAnsiTheme="majorHAnsi" w:cstheme="majorHAnsi"/>
          <w:color w:val="215868" w:themeColor="accent5" w:themeShade="80"/>
        </w:rPr>
        <w:t xml:space="preserve"> Engagement Team</w:t>
      </w:r>
      <w:r w:rsidR="00244936" w:rsidRPr="005A634C">
        <w:rPr>
          <w:rFonts w:asciiTheme="majorHAnsi" w:hAnsiTheme="majorHAnsi" w:cstheme="majorHAnsi"/>
          <w:color w:val="215868" w:themeColor="accent5" w:themeShade="80"/>
        </w:rPr>
        <w:t xml:space="preserve"> and all internal departments in order to meet our objectives and goals.</w:t>
      </w:r>
    </w:p>
    <w:p w14:paraId="5D2DB92F" w14:textId="77777777" w:rsidR="00040E9D" w:rsidRPr="005A634C" w:rsidRDefault="00244936" w:rsidP="00AA5514">
      <w:pPr>
        <w:pStyle w:val="Normal1"/>
        <w:widowControl/>
        <w:numPr>
          <w:ilvl w:val="0"/>
          <w:numId w:val="14"/>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Reports requested by your manager or special projects will need to be completed within designated time frames.</w:t>
      </w:r>
    </w:p>
    <w:p w14:paraId="3E261B56" w14:textId="0020D701" w:rsidR="00040E9D" w:rsidRDefault="00244936" w:rsidP="00AA5514">
      <w:pPr>
        <w:pStyle w:val="Normal1"/>
        <w:widowControl/>
        <w:numPr>
          <w:ilvl w:val="0"/>
          <w:numId w:val="14"/>
        </w:numPr>
        <w:ind w:right="-290"/>
        <w:contextualSpacing/>
        <w:jc w:val="both"/>
        <w:rPr>
          <w:rFonts w:asciiTheme="majorHAnsi" w:hAnsiTheme="majorHAnsi" w:cstheme="majorHAnsi"/>
          <w:color w:val="215868" w:themeColor="accent5" w:themeShade="80"/>
        </w:rPr>
      </w:pPr>
      <w:r w:rsidRPr="005A634C">
        <w:rPr>
          <w:rFonts w:asciiTheme="majorHAnsi" w:hAnsiTheme="majorHAnsi" w:cstheme="majorHAnsi"/>
          <w:color w:val="215868" w:themeColor="accent5" w:themeShade="80"/>
        </w:rPr>
        <w:t xml:space="preserve">Adherence to all corporate, financial and employee policies and procedures as implemented by Global Genes executive management. </w:t>
      </w:r>
    </w:p>
    <w:p w14:paraId="06E5021B" w14:textId="1A8E76E4" w:rsidR="00793096" w:rsidRDefault="00793096" w:rsidP="00793096">
      <w:pPr>
        <w:pStyle w:val="Normal1"/>
        <w:widowControl/>
        <w:ind w:right="-290"/>
        <w:contextualSpacing/>
        <w:jc w:val="both"/>
        <w:rPr>
          <w:rFonts w:asciiTheme="majorHAnsi" w:hAnsiTheme="majorHAnsi" w:cstheme="majorHAnsi"/>
          <w:color w:val="215868" w:themeColor="accent5" w:themeShade="80"/>
        </w:rPr>
      </w:pPr>
    </w:p>
    <w:p w14:paraId="119DBA0A" w14:textId="167EE5A9" w:rsidR="00793096" w:rsidRDefault="00793096" w:rsidP="00793096">
      <w:pPr>
        <w:pStyle w:val="Normal1"/>
        <w:widowControl/>
        <w:ind w:right="-290"/>
        <w:contextualSpacing/>
        <w:jc w:val="both"/>
        <w:rPr>
          <w:rFonts w:asciiTheme="majorHAnsi" w:hAnsiTheme="majorHAnsi" w:cstheme="majorHAnsi"/>
          <w:b/>
          <w:color w:val="215868" w:themeColor="accent5" w:themeShade="80"/>
        </w:rPr>
      </w:pPr>
      <w:r>
        <w:rPr>
          <w:rFonts w:asciiTheme="majorHAnsi" w:hAnsiTheme="majorHAnsi" w:cstheme="majorHAnsi"/>
          <w:b/>
          <w:color w:val="215868" w:themeColor="accent5" w:themeShade="80"/>
        </w:rPr>
        <w:t>Qualifications</w:t>
      </w:r>
    </w:p>
    <w:p w14:paraId="1D3D3613" w14:textId="33A23C4E" w:rsidR="00793096" w:rsidRPr="00AA5514" w:rsidRDefault="00AA5514" w:rsidP="00AA5514">
      <w:pPr>
        <w:pStyle w:val="Normal1"/>
        <w:widowControl/>
        <w:numPr>
          <w:ilvl w:val="0"/>
          <w:numId w:val="27"/>
        </w:numPr>
        <w:ind w:right="-290"/>
        <w:contextualSpacing/>
        <w:jc w:val="both"/>
        <w:rPr>
          <w:rFonts w:asciiTheme="majorHAnsi" w:hAnsiTheme="majorHAnsi" w:cstheme="majorHAnsi"/>
          <w:b/>
          <w:color w:val="215868" w:themeColor="accent5" w:themeShade="80"/>
        </w:rPr>
      </w:pPr>
      <w:r>
        <w:rPr>
          <w:rFonts w:asciiTheme="majorHAnsi" w:hAnsiTheme="majorHAnsi" w:cstheme="majorHAnsi"/>
          <w:color w:val="215868" w:themeColor="accent5" w:themeShade="80"/>
        </w:rPr>
        <w:t>Bachelor’s degree required.</w:t>
      </w:r>
    </w:p>
    <w:p w14:paraId="71F05C51" w14:textId="217B0E26" w:rsidR="00AA5514" w:rsidRPr="00245004" w:rsidRDefault="00AA5514" w:rsidP="00245004">
      <w:pPr>
        <w:pStyle w:val="Normal1"/>
        <w:widowControl/>
        <w:numPr>
          <w:ilvl w:val="0"/>
          <w:numId w:val="27"/>
        </w:numPr>
        <w:ind w:right="-290"/>
        <w:contextualSpacing/>
        <w:jc w:val="both"/>
        <w:rPr>
          <w:rFonts w:asciiTheme="majorHAnsi" w:hAnsiTheme="majorHAnsi" w:cstheme="majorHAnsi"/>
          <w:b/>
          <w:color w:val="215868" w:themeColor="accent5" w:themeShade="80"/>
        </w:rPr>
      </w:pPr>
      <w:r>
        <w:rPr>
          <w:rFonts w:asciiTheme="majorHAnsi" w:hAnsiTheme="majorHAnsi" w:cstheme="majorHAnsi"/>
          <w:color w:val="215868" w:themeColor="accent5" w:themeShade="80"/>
        </w:rPr>
        <w:t>3-5 years’ experience in account management from an agency or industry perspective</w:t>
      </w:r>
      <w:r w:rsidR="00245004">
        <w:rPr>
          <w:rFonts w:asciiTheme="majorHAnsi" w:hAnsiTheme="majorHAnsi" w:cstheme="majorHAnsi"/>
          <w:color w:val="215868" w:themeColor="accent5" w:themeShade="80"/>
        </w:rPr>
        <w:t>, with healthcare experience a plus.</w:t>
      </w:r>
    </w:p>
    <w:p w14:paraId="641CFFC3" w14:textId="5B13B2F9" w:rsidR="00AA5514" w:rsidRPr="00AA5514" w:rsidRDefault="00AA5514" w:rsidP="00AA5514">
      <w:pPr>
        <w:pStyle w:val="Normal1"/>
        <w:widowControl/>
        <w:numPr>
          <w:ilvl w:val="0"/>
          <w:numId w:val="27"/>
        </w:numPr>
        <w:ind w:right="-290"/>
        <w:contextualSpacing/>
        <w:jc w:val="both"/>
        <w:rPr>
          <w:rFonts w:asciiTheme="majorHAnsi" w:hAnsiTheme="majorHAnsi" w:cstheme="majorHAnsi"/>
          <w:b/>
          <w:color w:val="215868" w:themeColor="accent5" w:themeShade="80"/>
        </w:rPr>
      </w:pPr>
      <w:r>
        <w:rPr>
          <w:rFonts w:asciiTheme="majorHAnsi" w:hAnsiTheme="majorHAnsi" w:cstheme="majorHAnsi"/>
          <w:color w:val="215868" w:themeColor="accent5" w:themeShade="80"/>
        </w:rPr>
        <w:t>Advanced problem solving and communication abilities.</w:t>
      </w:r>
    </w:p>
    <w:p w14:paraId="1DC5F112" w14:textId="1022D52D" w:rsidR="00AA5514" w:rsidRPr="00245004" w:rsidRDefault="00245004" w:rsidP="00245004">
      <w:pPr>
        <w:pStyle w:val="Normal1"/>
        <w:widowControl/>
        <w:numPr>
          <w:ilvl w:val="0"/>
          <w:numId w:val="27"/>
        </w:numPr>
        <w:ind w:right="-290"/>
        <w:contextualSpacing/>
        <w:rPr>
          <w:rFonts w:asciiTheme="majorHAnsi" w:hAnsiTheme="majorHAnsi" w:cstheme="majorHAnsi"/>
          <w:b/>
          <w:color w:val="215868" w:themeColor="accent5" w:themeShade="80"/>
        </w:rPr>
      </w:pPr>
      <w:r>
        <w:rPr>
          <w:rFonts w:asciiTheme="majorHAnsi" w:hAnsiTheme="majorHAnsi" w:cstheme="majorHAnsi"/>
          <w:color w:val="215868" w:themeColor="accent5" w:themeShade="80"/>
        </w:rPr>
        <w:t>Experience in sales, increasing engagement with customers, with expert follow through.</w:t>
      </w:r>
    </w:p>
    <w:p w14:paraId="77565FC8" w14:textId="2358EB07" w:rsidR="00245004" w:rsidRPr="00245004" w:rsidRDefault="00245004" w:rsidP="00245004">
      <w:pPr>
        <w:pStyle w:val="Normal1"/>
        <w:widowControl/>
        <w:numPr>
          <w:ilvl w:val="0"/>
          <w:numId w:val="27"/>
        </w:numPr>
        <w:ind w:right="-290"/>
        <w:contextualSpacing/>
        <w:rPr>
          <w:rFonts w:asciiTheme="majorHAnsi" w:hAnsiTheme="majorHAnsi" w:cstheme="majorHAnsi"/>
          <w:b/>
          <w:color w:val="215868" w:themeColor="accent5" w:themeShade="80"/>
        </w:rPr>
      </w:pPr>
      <w:r>
        <w:rPr>
          <w:rFonts w:asciiTheme="majorHAnsi" w:hAnsiTheme="majorHAnsi" w:cstheme="majorHAnsi"/>
          <w:color w:val="215868" w:themeColor="accent5" w:themeShade="80"/>
        </w:rPr>
        <w:t>Excellent communicator and team player.</w:t>
      </w:r>
    </w:p>
    <w:p w14:paraId="377C763A" w14:textId="77777777" w:rsidR="00245004" w:rsidRPr="00793096" w:rsidRDefault="00245004" w:rsidP="00245004">
      <w:pPr>
        <w:pStyle w:val="Normal1"/>
        <w:widowControl/>
        <w:numPr>
          <w:ilvl w:val="0"/>
          <w:numId w:val="27"/>
        </w:numPr>
        <w:ind w:right="-290"/>
        <w:contextualSpacing/>
        <w:jc w:val="both"/>
        <w:rPr>
          <w:rFonts w:asciiTheme="majorHAnsi" w:hAnsiTheme="majorHAnsi" w:cstheme="majorHAnsi"/>
          <w:b/>
          <w:color w:val="215868" w:themeColor="accent5" w:themeShade="80"/>
        </w:rPr>
      </w:pPr>
      <w:r>
        <w:rPr>
          <w:rFonts w:asciiTheme="majorHAnsi" w:hAnsiTheme="majorHAnsi" w:cstheme="majorHAnsi"/>
          <w:color w:val="215868" w:themeColor="accent5" w:themeShade="80"/>
        </w:rPr>
        <w:t xml:space="preserve">Comfort working under pressure in a fast-paced environment. </w:t>
      </w:r>
    </w:p>
    <w:p w14:paraId="0CEE3E7B" w14:textId="2F405EB1" w:rsidR="00AA5514" w:rsidRPr="00AA5514" w:rsidRDefault="00245004" w:rsidP="00AA5514">
      <w:pPr>
        <w:pStyle w:val="Normal1"/>
        <w:widowControl/>
        <w:numPr>
          <w:ilvl w:val="0"/>
          <w:numId w:val="27"/>
        </w:numPr>
        <w:ind w:right="-290"/>
        <w:contextualSpacing/>
        <w:jc w:val="both"/>
        <w:rPr>
          <w:rFonts w:asciiTheme="majorHAnsi" w:hAnsiTheme="majorHAnsi" w:cstheme="majorHAnsi"/>
          <w:b/>
          <w:color w:val="215868" w:themeColor="accent5" w:themeShade="80"/>
        </w:rPr>
      </w:pPr>
      <w:r>
        <w:rPr>
          <w:rFonts w:asciiTheme="majorHAnsi" w:hAnsiTheme="majorHAnsi" w:cstheme="majorHAnsi"/>
          <w:color w:val="215868" w:themeColor="accent5" w:themeShade="80"/>
        </w:rPr>
        <w:t xml:space="preserve">Microsoft Suite and </w:t>
      </w:r>
      <w:r w:rsidR="00AA5514">
        <w:rPr>
          <w:rFonts w:asciiTheme="majorHAnsi" w:hAnsiTheme="majorHAnsi" w:cstheme="majorHAnsi"/>
          <w:color w:val="215868" w:themeColor="accent5" w:themeShade="80"/>
        </w:rPr>
        <w:t>Salesforce experience preferred.</w:t>
      </w:r>
    </w:p>
    <w:sectPr w:rsidR="00AA5514" w:rsidRPr="00AA551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912"/>
    <w:multiLevelType w:val="multilevel"/>
    <w:tmpl w:val="C9B475B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78931BF"/>
    <w:multiLevelType w:val="multilevel"/>
    <w:tmpl w:val="41A6077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8112AE0"/>
    <w:multiLevelType w:val="hybridMultilevel"/>
    <w:tmpl w:val="11EC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93688"/>
    <w:multiLevelType w:val="hybridMultilevel"/>
    <w:tmpl w:val="970E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34E5A"/>
    <w:multiLevelType w:val="multilevel"/>
    <w:tmpl w:val="32DECB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0DF52DD7"/>
    <w:multiLevelType w:val="multilevel"/>
    <w:tmpl w:val="BD76F576"/>
    <w:lvl w:ilvl="0">
      <w:start w:val="1"/>
      <w:numFmt w:val="bullet"/>
      <w:lvlText w:val="●"/>
      <w:lvlJc w:val="left"/>
      <w:pPr>
        <w:ind w:left="2130" w:firstLine="1080"/>
      </w:pPr>
      <w:rPr>
        <w:u w:val="none"/>
      </w:rPr>
    </w:lvl>
    <w:lvl w:ilvl="1">
      <w:start w:val="1"/>
      <w:numFmt w:val="bullet"/>
      <w:lvlText w:val="○"/>
      <w:lvlJc w:val="left"/>
      <w:pPr>
        <w:ind w:left="2850" w:firstLine="1800"/>
      </w:pPr>
      <w:rPr>
        <w:u w:val="none"/>
      </w:rPr>
    </w:lvl>
    <w:lvl w:ilvl="2">
      <w:start w:val="1"/>
      <w:numFmt w:val="bullet"/>
      <w:lvlText w:val="■"/>
      <w:lvlJc w:val="left"/>
      <w:pPr>
        <w:ind w:left="3570" w:firstLine="2520"/>
      </w:pPr>
      <w:rPr>
        <w:u w:val="none"/>
      </w:rPr>
    </w:lvl>
    <w:lvl w:ilvl="3">
      <w:start w:val="1"/>
      <w:numFmt w:val="bullet"/>
      <w:lvlText w:val="●"/>
      <w:lvlJc w:val="left"/>
      <w:pPr>
        <w:ind w:left="4290" w:firstLine="3240"/>
      </w:pPr>
      <w:rPr>
        <w:u w:val="none"/>
      </w:rPr>
    </w:lvl>
    <w:lvl w:ilvl="4">
      <w:start w:val="1"/>
      <w:numFmt w:val="bullet"/>
      <w:lvlText w:val="○"/>
      <w:lvlJc w:val="left"/>
      <w:pPr>
        <w:ind w:left="5010" w:firstLine="3960"/>
      </w:pPr>
      <w:rPr>
        <w:u w:val="none"/>
      </w:rPr>
    </w:lvl>
    <w:lvl w:ilvl="5">
      <w:start w:val="1"/>
      <w:numFmt w:val="bullet"/>
      <w:lvlText w:val="■"/>
      <w:lvlJc w:val="left"/>
      <w:pPr>
        <w:ind w:left="5730" w:firstLine="4680"/>
      </w:pPr>
      <w:rPr>
        <w:u w:val="none"/>
      </w:rPr>
    </w:lvl>
    <w:lvl w:ilvl="6">
      <w:start w:val="1"/>
      <w:numFmt w:val="bullet"/>
      <w:lvlText w:val="●"/>
      <w:lvlJc w:val="left"/>
      <w:pPr>
        <w:ind w:left="6450" w:firstLine="5400"/>
      </w:pPr>
      <w:rPr>
        <w:u w:val="none"/>
      </w:rPr>
    </w:lvl>
    <w:lvl w:ilvl="7">
      <w:start w:val="1"/>
      <w:numFmt w:val="bullet"/>
      <w:lvlText w:val="○"/>
      <w:lvlJc w:val="left"/>
      <w:pPr>
        <w:ind w:left="7170" w:firstLine="6120"/>
      </w:pPr>
      <w:rPr>
        <w:u w:val="none"/>
      </w:rPr>
    </w:lvl>
    <w:lvl w:ilvl="8">
      <w:start w:val="1"/>
      <w:numFmt w:val="bullet"/>
      <w:lvlText w:val="■"/>
      <w:lvlJc w:val="left"/>
      <w:pPr>
        <w:ind w:left="7890" w:firstLine="6840"/>
      </w:pPr>
      <w:rPr>
        <w:u w:val="none"/>
      </w:rPr>
    </w:lvl>
  </w:abstractNum>
  <w:abstractNum w:abstractNumId="6" w15:restartNumberingAfterBreak="0">
    <w:nsid w:val="17D50450"/>
    <w:multiLevelType w:val="multilevel"/>
    <w:tmpl w:val="36826F6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1A90399B"/>
    <w:multiLevelType w:val="hybridMultilevel"/>
    <w:tmpl w:val="6E1CB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91AE7"/>
    <w:multiLevelType w:val="multilevel"/>
    <w:tmpl w:val="AB820D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2A8A2254"/>
    <w:multiLevelType w:val="multilevel"/>
    <w:tmpl w:val="57A855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2AC6239F"/>
    <w:multiLevelType w:val="hybridMultilevel"/>
    <w:tmpl w:val="7BDC3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2178C"/>
    <w:multiLevelType w:val="multilevel"/>
    <w:tmpl w:val="2B18A80A"/>
    <w:lvl w:ilvl="0">
      <w:start w:val="1"/>
      <w:numFmt w:val="bullet"/>
      <w:lvlText w:val="●"/>
      <w:lvlJc w:val="left"/>
      <w:pPr>
        <w:ind w:left="1080" w:firstLine="1800"/>
      </w:pPr>
      <w:rPr>
        <w:rFonts w:ascii="Arial" w:eastAsia="Arial" w:hAnsi="Arial" w:cs="Arial"/>
        <w:u w:val="none"/>
      </w:rPr>
    </w:lvl>
    <w:lvl w:ilvl="1">
      <w:start w:val="1"/>
      <w:numFmt w:val="bullet"/>
      <w:lvlText w:val="○"/>
      <w:lvlJc w:val="left"/>
      <w:pPr>
        <w:ind w:left="1800" w:firstLine="3960"/>
      </w:pPr>
      <w:rPr>
        <w:rFonts w:ascii="Arial" w:eastAsia="Arial" w:hAnsi="Arial" w:cs="Arial"/>
        <w:u w:val="none"/>
      </w:rPr>
    </w:lvl>
    <w:lvl w:ilvl="2">
      <w:start w:val="1"/>
      <w:numFmt w:val="bullet"/>
      <w:lvlText w:val="■"/>
      <w:lvlJc w:val="left"/>
      <w:pPr>
        <w:ind w:left="2520" w:firstLine="6120"/>
      </w:pPr>
      <w:rPr>
        <w:rFonts w:ascii="Arial" w:eastAsia="Arial" w:hAnsi="Arial" w:cs="Arial"/>
        <w:u w:val="none"/>
      </w:rPr>
    </w:lvl>
    <w:lvl w:ilvl="3">
      <w:start w:val="1"/>
      <w:numFmt w:val="bullet"/>
      <w:lvlText w:val="●"/>
      <w:lvlJc w:val="left"/>
      <w:pPr>
        <w:ind w:left="3240" w:firstLine="8280"/>
      </w:pPr>
      <w:rPr>
        <w:rFonts w:ascii="Arial" w:eastAsia="Arial" w:hAnsi="Arial" w:cs="Arial"/>
        <w:u w:val="none"/>
      </w:rPr>
    </w:lvl>
    <w:lvl w:ilvl="4">
      <w:start w:val="1"/>
      <w:numFmt w:val="bullet"/>
      <w:lvlText w:val="○"/>
      <w:lvlJc w:val="left"/>
      <w:pPr>
        <w:ind w:left="3960" w:firstLine="10440"/>
      </w:pPr>
      <w:rPr>
        <w:rFonts w:ascii="Arial" w:eastAsia="Arial" w:hAnsi="Arial" w:cs="Arial"/>
        <w:u w:val="none"/>
      </w:rPr>
    </w:lvl>
    <w:lvl w:ilvl="5">
      <w:start w:val="1"/>
      <w:numFmt w:val="bullet"/>
      <w:lvlText w:val="■"/>
      <w:lvlJc w:val="left"/>
      <w:pPr>
        <w:ind w:left="4680" w:firstLine="12600"/>
      </w:pPr>
      <w:rPr>
        <w:rFonts w:ascii="Arial" w:eastAsia="Arial" w:hAnsi="Arial" w:cs="Arial"/>
        <w:u w:val="none"/>
      </w:rPr>
    </w:lvl>
    <w:lvl w:ilvl="6">
      <w:start w:val="1"/>
      <w:numFmt w:val="bullet"/>
      <w:lvlText w:val="●"/>
      <w:lvlJc w:val="left"/>
      <w:pPr>
        <w:ind w:left="5400" w:firstLine="14760"/>
      </w:pPr>
      <w:rPr>
        <w:rFonts w:ascii="Arial" w:eastAsia="Arial" w:hAnsi="Arial" w:cs="Arial"/>
        <w:u w:val="none"/>
      </w:rPr>
    </w:lvl>
    <w:lvl w:ilvl="7">
      <w:start w:val="1"/>
      <w:numFmt w:val="bullet"/>
      <w:lvlText w:val="○"/>
      <w:lvlJc w:val="left"/>
      <w:pPr>
        <w:ind w:left="6120" w:firstLine="16920"/>
      </w:pPr>
      <w:rPr>
        <w:rFonts w:ascii="Arial" w:eastAsia="Arial" w:hAnsi="Arial" w:cs="Arial"/>
        <w:u w:val="none"/>
      </w:rPr>
    </w:lvl>
    <w:lvl w:ilvl="8">
      <w:start w:val="1"/>
      <w:numFmt w:val="bullet"/>
      <w:lvlText w:val="■"/>
      <w:lvlJc w:val="left"/>
      <w:pPr>
        <w:ind w:left="6840" w:firstLine="19080"/>
      </w:pPr>
      <w:rPr>
        <w:rFonts w:ascii="Arial" w:eastAsia="Arial" w:hAnsi="Arial" w:cs="Arial"/>
        <w:u w:val="none"/>
      </w:rPr>
    </w:lvl>
  </w:abstractNum>
  <w:abstractNum w:abstractNumId="12" w15:restartNumberingAfterBreak="0">
    <w:nsid w:val="330B751D"/>
    <w:multiLevelType w:val="hybridMultilevel"/>
    <w:tmpl w:val="5F0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6494A"/>
    <w:multiLevelType w:val="hybridMultilevel"/>
    <w:tmpl w:val="B8947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E170F"/>
    <w:multiLevelType w:val="hybridMultilevel"/>
    <w:tmpl w:val="8366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F694B"/>
    <w:multiLevelType w:val="hybridMultilevel"/>
    <w:tmpl w:val="635C3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1C02FE"/>
    <w:multiLevelType w:val="multilevel"/>
    <w:tmpl w:val="03EE173E"/>
    <w:lvl w:ilvl="0">
      <w:start w:val="1"/>
      <w:numFmt w:val="bullet"/>
      <w:lvlText w:val="●"/>
      <w:lvlJc w:val="left"/>
      <w:pPr>
        <w:ind w:left="1440" w:firstLine="1800"/>
      </w:pPr>
      <w:rPr>
        <w:rFonts w:ascii="Arial" w:eastAsia="Arial" w:hAnsi="Arial" w:cs="Arial"/>
        <w:u w:val="none"/>
      </w:rPr>
    </w:lvl>
    <w:lvl w:ilvl="1">
      <w:start w:val="1"/>
      <w:numFmt w:val="bullet"/>
      <w:lvlText w:val="○"/>
      <w:lvlJc w:val="left"/>
      <w:pPr>
        <w:ind w:left="2160" w:firstLine="3240"/>
      </w:pPr>
      <w:rPr>
        <w:rFonts w:ascii="Arial" w:eastAsia="Arial" w:hAnsi="Arial" w:cs="Arial"/>
        <w:u w:val="none"/>
      </w:rPr>
    </w:lvl>
    <w:lvl w:ilvl="2">
      <w:start w:val="1"/>
      <w:numFmt w:val="bullet"/>
      <w:lvlText w:val="■"/>
      <w:lvlJc w:val="left"/>
      <w:pPr>
        <w:ind w:left="2880" w:firstLine="4680"/>
      </w:pPr>
      <w:rPr>
        <w:rFonts w:ascii="Arial" w:eastAsia="Arial" w:hAnsi="Arial" w:cs="Arial"/>
        <w:u w:val="none"/>
      </w:rPr>
    </w:lvl>
    <w:lvl w:ilvl="3">
      <w:start w:val="1"/>
      <w:numFmt w:val="bullet"/>
      <w:lvlText w:val="●"/>
      <w:lvlJc w:val="left"/>
      <w:pPr>
        <w:ind w:left="3600" w:firstLine="6120"/>
      </w:pPr>
      <w:rPr>
        <w:rFonts w:ascii="Arial" w:eastAsia="Arial" w:hAnsi="Arial" w:cs="Arial"/>
        <w:u w:val="none"/>
      </w:rPr>
    </w:lvl>
    <w:lvl w:ilvl="4">
      <w:start w:val="1"/>
      <w:numFmt w:val="bullet"/>
      <w:lvlText w:val="○"/>
      <w:lvlJc w:val="left"/>
      <w:pPr>
        <w:ind w:left="4320" w:firstLine="7560"/>
      </w:pPr>
      <w:rPr>
        <w:rFonts w:ascii="Arial" w:eastAsia="Arial" w:hAnsi="Arial" w:cs="Arial"/>
        <w:u w:val="none"/>
      </w:rPr>
    </w:lvl>
    <w:lvl w:ilvl="5">
      <w:start w:val="1"/>
      <w:numFmt w:val="bullet"/>
      <w:lvlText w:val="■"/>
      <w:lvlJc w:val="left"/>
      <w:pPr>
        <w:ind w:left="5040" w:firstLine="9000"/>
      </w:pPr>
      <w:rPr>
        <w:rFonts w:ascii="Arial" w:eastAsia="Arial" w:hAnsi="Arial" w:cs="Arial"/>
        <w:u w:val="none"/>
      </w:rPr>
    </w:lvl>
    <w:lvl w:ilvl="6">
      <w:start w:val="1"/>
      <w:numFmt w:val="bullet"/>
      <w:lvlText w:val="●"/>
      <w:lvlJc w:val="left"/>
      <w:pPr>
        <w:ind w:left="5760" w:firstLine="10440"/>
      </w:pPr>
      <w:rPr>
        <w:rFonts w:ascii="Arial" w:eastAsia="Arial" w:hAnsi="Arial" w:cs="Arial"/>
        <w:u w:val="none"/>
      </w:rPr>
    </w:lvl>
    <w:lvl w:ilvl="7">
      <w:start w:val="1"/>
      <w:numFmt w:val="bullet"/>
      <w:lvlText w:val="○"/>
      <w:lvlJc w:val="left"/>
      <w:pPr>
        <w:ind w:left="6480" w:firstLine="11880"/>
      </w:pPr>
      <w:rPr>
        <w:rFonts w:ascii="Arial" w:eastAsia="Arial" w:hAnsi="Arial" w:cs="Arial"/>
        <w:u w:val="none"/>
      </w:rPr>
    </w:lvl>
    <w:lvl w:ilvl="8">
      <w:start w:val="1"/>
      <w:numFmt w:val="bullet"/>
      <w:lvlText w:val="■"/>
      <w:lvlJc w:val="left"/>
      <w:pPr>
        <w:ind w:left="7200" w:firstLine="13320"/>
      </w:pPr>
      <w:rPr>
        <w:rFonts w:ascii="Arial" w:eastAsia="Arial" w:hAnsi="Arial" w:cs="Arial"/>
        <w:u w:val="none"/>
      </w:rPr>
    </w:lvl>
  </w:abstractNum>
  <w:abstractNum w:abstractNumId="17" w15:restartNumberingAfterBreak="0">
    <w:nsid w:val="42811B8E"/>
    <w:multiLevelType w:val="hybridMultilevel"/>
    <w:tmpl w:val="B3E0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6A6486"/>
    <w:multiLevelType w:val="hybridMultilevel"/>
    <w:tmpl w:val="6EB6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454F0"/>
    <w:multiLevelType w:val="multilevel"/>
    <w:tmpl w:val="91362DD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52780E8A"/>
    <w:multiLevelType w:val="multilevel"/>
    <w:tmpl w:val="D864FB9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5ABB700B"/>
    <w:multiLevelType w:val="hybridMultilevel"/>
    <w:tmpl w:val="42225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705714"/>
    <w:multiLevelType w:val="hybridMultilevel"/>
    <w:tmpl w:val="AC84C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7E04EF"/>
    <w:multiLevelType w:val="hybridMultilevel"/>
    <w:tmpl w:val="0146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B160C"/>
    <w:multiLevelType w:val="hybridMultilevel"/>
    <w:tmpl w:val="DB48D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053524"/>
    <w:multiLevelType w:val="hybridMultilevel"/>
    <w:tmpl w:val="E4D2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EA0127"/>
    <w:multiLevelType w:val="multilevel"/>
    <w:tmpl w:val="ABEE484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6"/>
  </w:num>
  <w:num w:numId="2">
    <w:abstractNumId w:val="8"/>
  </w:num>
  <w:num w:numId="3">
    <w:abstractNumId w:val="16"/>
  </w:num>
  <w:num w:numId="4">
    <w:abstractNumId w:val="0"/>
  </w:num>
  <w:num w:numId="5">
    <w:abstractNumId w:val="1"/>
  </w:num>
  <w:num w:numId="6">
    <w:abstractNumId w:val="20"/>
  </w:num>
  <w:num w:numId="7">
    <w:abstractNumId w:val="19"/>
  </w:num>
  <w:num w:numId="8">
    <w:abstractNumId w:val="5"/>
  </w:num>
  <w:num w:numId="9">
    <w:abstractNumId w:val="9"/>
  </w:num>
  <w:num w:numId="10">
    <w:abstractNumId w:val="4"/>
  </w:num>
  <w:num w:numId="11">
    <w:abstractNumId w:val="26"/>
  </w:num>
  <w:num w:numId="12">
    <w:abstractNumId w:val="11"/>
  </w:num>
  <w:num w:numId="13">
    <w:abstractNumId w:val="12"/>
  </w:num>
  <w:num w:numId="14">
    <w:abstractNumId w:val="24"/>
  </w:num>
  <w:num w:numId="15">
    <w:abstractNumId w:val="3"/>
  </w:num>
  <w:num w:numId="16">
    <w:abstractNumId w:val="7"/>
  </w:num>
  <w:num w:numId="17">
    <w:abstractNumId w:val="22"/>
  </w:num>
  <w:num w:numId="18">
    <w:abstractNumId w:val="17"/>
  </w:num>
  <w:num w:numId="19">
    <w:abstractNumId w:val="18"/>
  </w:num>
  <w:num w:numId="20">
    <w:abstractNumId w:val="15"/>
  </w:num>
  <w:num w:numId="21">
    <w:abstractNumId w:val="13"/>
  </w:num>
  <w:num w:numId="22">
    <w:abstractNumId w:val="10"/>
  </w:num>
  <w:num w:numId="23">
    <w:abstractNumId w:val="21"/>
  </w:num>
  <w:num w:numId="24">
    <w:abstractNumId w:val="2"/>
  </w:num>
  <w:num w:numId="25">
    <w:abstractNumId w:val="25"/>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9D"/>
    <w:rsid w:val="00040E9D"/>
    <w:rsid w:val="00244936"/>
    <w:rsid w:val="00245004"/>
    <w:rsid w:val="002806F7"/>
    <w:rsid w:val="004119A1"/>
    <w:rsid w:val="0046714A"/>
    <w:rsid w:val="005A634C"/>
    <w:rsid w:val="00740361"/>
    <w:rsid w:val="00793096"/>
    <w:rsid w:val="00AA5514"/>
    <w:rsid w:val="00C90E9B"/>
    <w:rsid w:val="00F9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CA4EF"/>
  <w15:docId w15:val="{A3EBCB9D-2414-46CD-815F-62BEA9F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7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Global Genes</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Leite</dc:creator>
  <cp:lastModifiedBy>Tiffany Leite</cp:lastModifiedBy>
  <cp:revision>2</cp:revision>
  <cp:lastPrinted>2016-11-19T03:42:00Z</cp:lastPrinted>
  <dcterms:created xsi:type="dcterms:W3CDTF">2017-08-04T23:14:00Z</dcterms:created>
  <dcterms:modified xsi:type="dcterms:W3CDTF">2017-08-04T23:14:00Z</dcterms:modified>
</cp:coreProperties>
</file>